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052" w:rsidRPr="007F46C6" w:rsidRDefault="00F74052">
      <w:pPr>
        <w:rPr>
          <w:b/>
          <w:sz w:val="28"/>
        </w:rPr>
      </w:pPr>
      <w:r w:rsidRPr="007F46C6">
        <w:rPr>
          <w:b/>
          <w:sz w:val="28"/>
        </w:rPr>
        <w:t xml:space="preserve">Standard I: Mission, Academic Quality and Institutional Effectiveness, and Integrity </w:t>
      </w:r>
    </w:p>
    <w:p w:rsidR="00504B09" w:rsidRDefault="00F74052">
      <w:r>
        <w:t>The institution demonstrates strong commitment to a mission that emphasizes student learning and student achievement. Using analysis of quantitative and qualitative data, the institution continuously and systematically evaluates, plans, implements, and improves the quality of its educational programs and services. The institution demonstrates integrity in all policies, actions, and communication. The administration, faculty, staff, and governing board members act honestly, ethically, and fairly in the performance of their duties.</w:t>
      </w:r>
    </w:p>
    <w:p w:rsidR="00F74052" w:rsidRPr="007F46C6" w:rsidRDefault="00F74052">
      <w:pPr>
        <w:rPr>
          <w:b/>
          <w:sz w:val="24"/>
        </w:rPr>
      </w:pPr>
      <w:r w:rsidRPr="007F46C6">
        <w:rPr>
          <w:b/>
          <w:sz w:val="24"/>
        </w:rPr>
        <w:t xml:space="preserve">A. Mission </w:t>
      </w:r>
    </w:p>
    <w:p w:rsidR="00F74052" w:rsidRDefault="00F74052">
      <w:r w:rsidRPr="001A351C">
        <w:rPr>
          <w:b/>
        </w:rPr>
        <w:t>1</w:t>
      </w:r>
      <w:r>
        <w:t>. The mission describes the institution’s broad educational purposes, its intended student population, the types of degrees and other credentials it offers, and its commitment to student lear</w:t>
      </w:r>
      <w:r w:rsidR="001A351C">
        <w:t>ning</w:t>
      </w:r>
      <w:r>
        <w:t xml:space="preserve"> and student achievement. </w:t>
      </w:r>
    </w:p>
    <w:tbl>
      <w:tblPr>
        <w:tblStyle w:val="TableGrid"/>
        <w:tblW w:w="0" w:type="auto"/>
        <w:tblLook w:val="04A0" w:firstRow="1" w:lastRow="0" w:firstColumn="1" w:lastColumn="0" w:noHBand="0" w:noVBand="1"/>
      </w:tblPr>
      <w:tblGrid>
        <w:gridCol w:w="5188"/>
        <w:gridCol w:w="5188"/>
      </w:tblGrid>
      <w:tr w:rsidR="00F74052" w:rsidTr="0061182E">
        <w:trPr>
          <w:trHeight w:val="272"/>
        </w:trPr>
        <w:tc>
          <w:tcPr>
            <w:tcW w:w="5188" w:type="dxa"/>
          </w:tcPr>
          <w:p w:rsidR="00F74052" w:rsidRPr="00F74052" w:rsidRDefault="001A351C" w:rsidP="001A351C">
            <w:pPr>
              <w:rPr>
                <w:b/>
              </w:rPr>
            </w:pPr>
            <w:r>
              <w:rPr>
                <w:b/>
              </w:rPr>
              <w:t>How d</w:t>
            </w:r>
            <w:r w:rsidR="00F74052" w:rsidRPr="00F74052">
              <w:rPr>
                <w:b/>
              </w:rPr>
              <w:t xml:space="preserve">oes MJC meet </w:t>
            </w:r>
            <w:r>
              <w:rPr>
                <w:b/>
              </w:rPr>
              <w:t>the Standard?</w:t>
            </w:r>
          </w:p>
        </w:tc>
        <w:tc>
          <w:tcPr>
            <w:tcW w:w="5188" w:type="dxa"/>
          </w:tcPr>
          <w:p w:rsidR="00F74052" w:rsidRPr="00F74052" w:rsidRDefault="00F74052">
            <w:pPr>
              <w:rPr>
                <w:b/>
              </w:rPr>
            </w:pPr>
            <w:r w:rsidRPr="00F74052">
              <w:rPr>
                <w:b/>
              </w:rPr>
              <w:t>Evidence</w:t>
            </w:r>
          </w:p>
        </w:tc>
      </w:tr>
      <w:tr w:rsidR="00F74052" w:rsidTr="0061182E">
        <w:trPr>
          <w:trHeight w:val="1117"/>
        </w:trPr>
        <w:tc>
          <w:tcPr>
            <w:tcW w:w="5188" w:type="dxa"/>
          </w:tcPr>
          <w:p w:rsidR="00F74052" w:rsidRDefault="00F74052">
            <w:r>
              <w:t>What does the institution's mission statement say about its educational purposes? Are the purposes appropriate to an institution of higher learning?</w:t>
            </w:r>
          </w:p>
        </w:tc>
        <w:tc>
          <w:tcPr>
            <w:tcW w:w="5188" w:type="dxa"/>
          </w:tcPr>
          <w:p w:rsidR="00F74052" w:rsidRDefault="00D65A10">
            <w:pPr>
              <w:rPr>
                <w:color w:val="5B9BD5" w:themeColor="accent1"/>
              </w:rPr>
            </w:pPr>
            <w:r w:rsidRPr="00D65A10">
              <w:rPr>
                <w:color w:val="5B9BD5" w:themeColor="accent1"/>
              </w:rPr>
              <w:t>Quote the mission</w:t>
            </w:r>
          </w:p>
          <w:p w:rsidR="00D65A10" w:rsidRDefault="00D65A10"/>
        </w:tc>
      </w:tr>
      <w:tr w:rsidR="00F74052" w:rsidTr="0061182E">
        <w:trPr>
          <w:trHeight w:val="558"/>
        </w:trPr>
        <w:tc>
          <w:tcPr>
            <w:tcW w:w="5188" w:type="dxa"/>
          </w:tcPr>
          <w:p w:rsidR="00F74052" w:rsidRDefault="00F74052">
            <w:r>
              <w:t>How does the mission statement inform institutional planning?</w:t>
            </w:r>
          </w:p>
        </w:tc>
        <w:tc>
          <w:tcPr>
            <w:tcW w:w="5188" w:type="dxa"/>
          </w:tcPr>
          <w:p w:rsidR="00F74052" w:rsidRDefault="00D65A10">
            <w:pPr>
              <w:rPr>
                <w:color w:val="5B9BD5" w:themeColor="accent1"/>
              </w:rPr>
            </w:pPr>
            <w:r>
              <w:rPr>
                <w:color w:val="5B9BD5" w:themeColor="accent1"/>
              </w:rPr>
              <w:t>Committee Meeting Minutes – incorporate into meeting minute templates so it’s always present</w:t>
            </w:r>
          </w:p>
          <w:p w:rsidR="00D65A10" w:rsidRDefault="00D65A10">
            <w:pPr>
              <w:rPr>
                <w:color w:val="5B9BD5" w:themeColor="accent1"/>
              </w:rPr>
            </w:pPr>
          </w:p>
          <w:p w:rsidR="00D65A10" w:rsidRDefault="00D65A10">
            <w:pPr>
              <w:rPr>
                <w:color w:val="5B9BD5" w:themeColor="accent1"/>
              </w:rPr>
            </w:pPr>
            <w:r>
              <w:rPr>
                <w:color w:val="5B9BD5" w:themeColor="accent1"/>
              </w:rPr>
              <w:t>Identifying objectives that spring from the mission …College Council Minutes (Brenda has minutes)</w:t>
            </w:r>
          </w:p>
          <w:p w:rsidR="00D65A10" w:rsidRDefault="00D65A10">
            <w:pPr>
              <w:rPr>
                <w:color w:val="5B9BD5" w:themeColor="accent1"/>
              </w:rPr>
            </w:pPr>
          </w:p>
          <w:p w:rsidR="00D65A10" w:rsidRDefault="00D65A10">
            <w:pPr>
              <w:rPr>
                <w:color w:val="5B9BD5" w:themeColor="accent1"/>
              </w:rPr>
            </w:pPr>
            <w:r>
              <w:rPr>
                <w:color w:val="5B9BD5" w:themeColor="accent1"/>
              </w:rPr>
              <w:t>Institute Day Professional Development</w:t>
            </w:r>
          </w:p>
          <w:p w:rsidR="00D65A10" w:rsidRPr="00D65A10" w:rsidRDefault="00D65A10">
            <w:pPr>
              <w:rPr>
                <w:color w:val="5B9BD5" w:themeColor="accent1"/>
              </w:rPr>
            </w:pPr>
            <w:r>
              <w:rPr>
                <w:color w:val="5B9BD5" w:themeColor="accent1"/>
              </w:rPr>
              <w:t>Breakouts</w:t>
            </w:r>
          </w:p>
        </w:tc>
      </w:tr>
      <w:tr w:rsidR="00F74052" w:rsidTr="0061182E">
        <w:trPr>
          <w:trHeight w:val="1104"/>
        </w:trPr>
        <w:tc>
          <w:tcPr>
            <w:tcW w:w="5188" w:type="dxa"/>
          </w:tcPr>
          <w:p w:rsidR="00F74052" w:rsidRDefault="00F74052" w:rsidP="00F74052">
            <w:pPr>
              <w:tabs>
                <w:tab w:val="left" w:pos="1402"/>
              </w:tabs>
            </w:pPr>
            <w:r>
              <w:t>Who are the intended students for the courses offered in DE/CE format? Are they similar to or different from students studying in traditional learning mode?</w:t>
            </w:r>
          </w:p>
        </w:tc>
        <w:tc>
          <w:tcPr>
            <w:tcW w:w="5188" w:type="dxa"/>
          </w:tcPr>
          <w:p w:rsidR="00F74052" w:rsidRPr="00D65A10" w:rsidRDefault="00D65A10">
            <w:pPr>
              <w:rPr>
                <w:color w:val="5B9BD5" w:themeColor="accent1"/>
              </w:rPr>
            </w:pPr>
            <w:r w:rsidRPr="00D65A10">
              <w:rPr>
                <w:color w:val="5B9BD5" w:themeColor="accent1"/>
              </w:rPr>
              <w:t>How do we speak inclusively about DE/CE in the mission?</w:t>
            </w:r>
          </w:p>
          <w:p w:rsidR="00D65A10" w:rsidRDefault="00D65A10">
            <w:pPr>
              <w:rPr>
                <w:color w:val="5B9BD5" w:themeColor="accent1"/>
              </w:rPr>
            </w:pPr>
            <w:r w:rsidRPr="00D65A10">
              <w:rPr>
                <w:color w:val="5B9BD5" w:themeColor="accent1"/>
              </w:rPr>
              <w:t>Do we expect a different student audience?</w:t>
            </w:r>
          </w:p>
          <w:p w:rsidR="00D65A10" w:rsidRDefault="00D65A10">
            <w:r>
              <w:rPr>
                <w:color w:val="5B9BD5" w:themeColor="accent1"/>
              </w:rPr>
              <w:t>Our courses and programs are developed with the region in mind; therefore, CE/DE are included in that audience.</w:t>
            </w:r>
          </w:p>
        </w:tc>
      </w:tr>
    </w:tbl>
    <w:p w:rsidR="00F74052" w:rsidRDefault="001A351C">
      <w:r>
        <w:rPr>
          <w:noProof/>
        </w:rPr>
        <mc:AlternateContent>
          <mc:Choice Requires="wps">
            <w:drawing>
              <wp:anchor distT="0" distB="0" distL="114300" distR="114300" simplePos="0" relativeHeight="251659264" behindDoc="0" locked="0" layoutInCell="1" allowOverlap="1">
                <wp:simplePos x="0" y="0"/>
                <wp:positionH relativeFrom="column">
                  <wp:posOffset>3976</wp:posOffset>
                </wp:positionH>
                <wp:positionV relativeFrom="paragraph">
                  <wp:posOffset>254166</wp:posOffset>
                </wp:positionV>
                <wp:extent cx="6599582" cy="1160890"/>
                <wp:effectExtent l="0" t="0" r="10795" b="20320"/>
                <wp:wrapNone/>
                <wp:docPr id="2" name="Text Box 2"/>
                <wp:cNvGraphicFramePr/>
                <a:graphic xmlns:a="http://schemas.openxmlformats.org/drawingml/2006/main">
                  <a:graphicData uri="http://schemas.microsoft.com/office/word/2010/wordprocessingShape">
                    <wps:wsp>
                      <wps:cNvSpPr txBox="1"/>
                      <wps:spPr>
                        <a:xfrm>
                          <a:off x="0" y="0"/>
                          <a:ext cx="6599582" cy="1160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351C" w:rsidRDefault="001A351C" w:rsidP="001A351C">
                            <w:pPr>
                              <w:jc w:val="center"/>
                            </w:pPr>
                            <w:r w:rsidRPr="001A351C">
                              <w:rPr>
                                <w:b/>
                              </w:rPr>
                              <w:t>Effective Practices</w:t>
                            </w:r>
                          </w:p>
                          <w:p w:rsidR="001A351C" w:rsidRDefault="001A351C">
                            <w:r>
                              <w:t>Institutional leaders, including board members and faculty, are continuously engaged in fulfilling the institutional mission, which focuses on the success of students pursuing their educational goals. Grounded by the mission, a sustained focus on student learning and achievement is practiced by all stakeholders and demonstrably informs the development of policies, procedures, and practices.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20pt;width:519.65pt;height:9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" fillcolor="white [3201]" strokeweight=".5pt">
                <v:textbox>
                  <w:txbxContent>
                    <w:p w:rsidR="001A351C" w:rsidRDefault="001A351C" w:rsidP="001A351C">
                      <w:pPr>
                        <w:jc w:val="center"/>
                      </w:pPr>
                      <w:r w:rsidRPr="001A351C">
                        <w:rPr>
                          <w:b/>
                        </w:rPr>
                        <w:t>Effective Practices</w:t>
                      </w:r>
                    </w:p>
                    <w:p w:rsidR="001A351C" w:rsidRDefault="001A351C">
                      <w:r>
                        <w:t>Institutional leaders, including board members and faculty, are continuously engaged in fulfilling the institutional mission, which focuses on the success of students pursuing their educational goals. Grounded by the mission, a sustained focus on student learning and achievement is practiced by all stakeholders and demonstrably informs the development of policies, procedures, and practices.</w:t>
                      </w:r>
                    </w:p>
                  </w:txbxContent>
                </v:textbox>
              </v:shape>
            </w:pict>
          </mc:Fallback>
        </mc:AlternateContent>
      </w:r>
    </w:p>
    <w:p w:rsidR="00F74052" w:rsidRDefault="00F74052"/>
    <w:p w:rsidR="001A351C" w:rsidRDefault="001A351C"/>
    <w:p w:rsidR="001A351C" w:rsidRDefault="001A351C"/>
    <w:p w:rsidR="001A351C" w:rsidRDefault="001A351C"/>
    <w:p w:rsidR="0061182E" w:rsidRPr="009B3798" w:rsidRDefault="0061182E">
      <w:pPr>
        <w:rPr>
          <w:b/>
          <w:sz w:val="2"/>
        </w:rPr>
      </w:pPr>
    </w:p>
    <w:p w:rsidR="001A351C" w:rsidRDefault="001A351C">
      <w:r w:rsidRPr="001A351C">
        <w:rPr>
          <w:b/>
        </w:rPr>
        <w:t>2</w:t>
      </w:r>
      <w:r>
        <w:t>. The institution uses data to determine how effectively it is accomplishing its mission, and whether the mission directs institutional priorities in meeting the educational needs of students.</w:t>
      </w:r>
    </w:p>
    <w:tbl>
      <w:tblPr>
        <w:tblStyle w:val="TableGrid"/>
        <w:tblW w:w="0" w:type="auto"/>
        <w:tblLook w:val="04A0" w:firstRow="1" w:lastRow="0" w:firstColumn="1" w:lastColumn="0" w:noHBand="0" w:noVBand="1"/>
      </w:tblPr>
      <w:tblGrid>
        <w:gridCol w:w="5200"/>
        <w:gridCol w:w="5200"/>
      </w:tblGrid>
      <w:tr w:rsidR="001A351C" w:rsidRPr="00F74052" w:rsidTr="0061182E">
        <w:trPr>
          <w:trHeight w:val="272"/>
        </w:trPr>
        <w:tc>
          <w:tcPr>
            <w:tcW w:w="5200" w:type="dxa"/>
          </w:tcPr>
          <w:p w:rsidR="001A351C" w:rsidRPr="00F74052" w:rsidRDefault="001A351C" w:rsidP="001A351C">
            <w:pPr>
              <w:rPr>
                <w:b/>
              </w:rPr>
            </w:pPr>
            <w:r>
              <w:rPr>
                <w:b/>
              </w:rPr>
              <w:t>How d</w:t>
            </w:r>
            <w:r w:rsidRPr="00F74052">
              <w:rPr>
                <w:b/>
              </w:rPr>
              <w:t xml:space="preserve">oes MJC meet </w:t>
            </w:r>
            <w:r>
              <w:rPr>
                <w:b/>
              </w:rPr>
              <w:t>the Standard</w:t>
            </w:r>
            <w:r w:rsidRPr="00F74052">
              <w:rPr>
                <w:b/>
              </w:rPr>
              <w:t>?</w:t>
            </w:r>
          </w:p>
        </w:tc>
        <w:tc>
          <w:tcPr>
            <w:tcW w:w="5200" w:type="dxa"/>
          </w:tcPr>
          <w:p w:rsidR="001A351C" w:rsidRPr="00F74052" w:rsidRDefault="001A351C" w:rsidP="00750783">
            <w:pPr>
              <w:rPr>
                <w:b/>
              </w:rPr>
            </w:pPr>
            <w:r w:rsidRPr="00F74052">
              <w:rPr>
                <w:b/>
              </w:rPr>
              <w:t>Evidence</w:t>
            </w:r>
          </w:p>
        </w:tc>
      </w:tr>
      <w:tr w:rsidR="001A351C" w:rsidTr="0061182E">
        <w:trPr>
          <w:trHeight w:val="1388"/>
        </w:trPr>
        <w:tc>
          <w:tcPr>
            <w:tcW w:w="5200" w:type="dxa"/>
          </w:tcPr>
          <w:p w:rsidR="001A351C" w:rsidRDefault="001A351C" w:rsidP="00750783">
            <w:r>
              <w:t>What data does the institution use to determine whether or not it is accomplishing its mission? What institutional processes does the institution use to evaluate the effectiveness and success of its mission? (Federal Regulation)</w:t>
            </w:r>
          </w:p>
          <w:p w:rsidR="0078217A" w:rsidRDefault="0078217A" w:rsidP="00750783">
            <w:r w:rsidRPr="0078217A">
              <w:rPr>
                <w:color w:val="5B9BD5" w:themeColor="accent1"/>
                <w:highlight w:val="yellow"/>
              </w:rPr>
              <w:t>Disaggregate Data</w:t>
            </w:r>
          </w:p>
        </w:tc>
        <w:tc>
          <w:tcPr>
            <w:tcW w:w="5200" w:type="dxa"/>
          </w:tcPr>
          <w:p w:rsidR="001A351C" w:rsidRPr="0078217A" w:rsidRDefault="0078217A" w:rsidP="00750783">
            <w:pPr>
              <w:rPr>
                <w:color w:val="5B9BD5" w:themeColor="accent1"/>
              </w:rPr>
            </w:pPr>
            <w:r w:rsidRPr="0078217A">
              <w:rPr>
                <w:color w:val="5B9BD5" w:themeColor="accent1"/>
              </w:rPr>
              <w:t>SLOs</w:t>
            </w:r>
          </w:p>
          <w:p w:rsidR="0078217A" w:rsidRPr="0078217A" w:rsidRDefault="0078217A" w:rsidP="00750783">
            <w:pPr>
              <w:rPr>
                <w:color w:val="5B9BD5" w:themeColor="accent1"/>
              </w:rPr>
            </w:pPr>
            <w:r w:rsidRPr="0078217A">
              <w:rPr>
                <w:color w:val="5B9BD5" w:themeColor="accent1"/>
              </w:rPr>
              <w:t>Program Review</w:t>
            </w:r>
          </w:p>
          <w:p w:rsidR="0078217A" w:rsidRPr="0078217A" w:rsidRDefault="0078217A" w:rsidP="00750783">
            <w:pPr>
              <w:rPr>
                <w:color w:val="5B9BD5" w:themeColor="accent1"/>
              </w:rPr>
            </w:pPr>
            <w:r w:rsidRPr="0078217A">
              <w:rPr>
                <w:color w:val="5B9BD5" w:themeColor="accent1"/>
              </w:rPr>
              <w:t>Resource Allocation</w:t>
            </w:r>
          </w:p>
          <w:p w:rsidR="0078217A" w:rsidRPr="0078217A" w:rsidRDefault="0078217A" w:rsidP="00750783">
            <w:pPr>
              <w:rPr>
                <w:color w:val="5B9BD5" w:themeColor="accent1"/>
              </w:rPr>
            </w:pPr>
            <w:r w:rsidRPr="0078217A">
              <w:rPr>
                <w:color w:val="5B9BD5" w:themeColor="accent1"/>
              </w:rPr>
              <w:t>Faculty Hiring Prioritization</w:t>
            </w:r>
          </w:p>
          <w:p w:rsidR="0078217A" w:rsidRDefault="0078217A" w:rsidP="00750783">
            <w:pPr>
              <w:rPr>
                <w:color w:val="5B9BD5" w:themeColor="accent1"/>
              </w:rPr>
            </w:pPr>
            <w:r w:rsidRPr="0078217A">
              <w:rPr>
                <w:color w:val="5B9BD5" w:themeColor="accent1"/>
              </w:rPr>
              <w:t>ACCJC Annual Report</w:t>
            </w:r>
          </w:p>
          <w:p w:rsidR="0078217A" w:rsidRPr="0078217A" w:rsidRDefault="0078217A" w:rsidP="00750783">
            <w:pPr>
              <w:rPr>
                <w:color w:val="5B9BD5" w:themeColor="accent1"/>
              </w:rPr>
            </w:pPr>
            <w:r>
              <w:rPr>
                <w:color w:val="5B9BD5" w:themeColor="accent1"/>
              </w:rPr>
              <w:t xml:space="preserve">Include Scorecard presentations to the </w:t>
            </w:r>
            <w:proofErr w:type="spellStart"/>
            <w:r>
              <w:rPr>
                <w:color w:val="5B9BD5" w:themeColor="accent1"/>
              </w:rPr>
              <w:t>BoT</w:t>
            </w:r>
            <w:proofErr w:type="spellEnd"/>
            <w:r>
              <w:rPr>
                <w:color w:val="5B9BD5" w:themeColor="accent1"/>
              </w:rPr>
              <w:t xml:space="preserve">, Accreditation Updates to </w:t>
            </w:r>
            <w:proofErr w:type="spellStart"/>
            <w:r>
              <w:rPr>
                <w:color w:val="5B9BD5" w:themeColor="accent1"/>
              </w:rPr>
              <w:t>BoT</w:t>
            </w:r>
            <w:proofErr w:type="spellEnd"/>
          </w:p>
          <w:p w:rsidR="0078217A" w:rsidRDefault="0078217A" w:rsidP="00750783"/>
        </w:tc>
      </w:tr>
      <w:tr w:rsidR="001A351C" w:rsidTr="0061182E">
        <w:trPr>
          <w:trHeight w:val="829"/>
        </w:trPr>
        <w:tc>
          <w:tcPr>
            <w:tcW w:w="5200" w:type="dxa"/>
          </w:tcPr>
          <w:p w:rsidR="001A351C" w:rsidRDefault="001A351C" w:rsidP="00750783">
            <w:r>
              <w:lastRenderedPageBreak/>
              <w:t>How does the institution meet the standard as to the baccalaureate degree, and how is this demonstrated in evidence?</w:t>
            </w:r>
          </w:p>
        </w:tc>
        <w:tc>
          <w:tcPr>
            <w:tcW w:w="5200" w:type="dxa"/>
          </w:tcPr>
          <w:p w:rsidR="001A351C" w:rsidRDefault="0078217A" w:rsidP="00750783">
            <w:pPr>
              <w:rPr>
                <w:color w:val="5B9BD5" w:themeColor="accent1"/>
              </w:rPr>
            </w:pPr>
            <w:r w:rsidRPr="0078217A">
              <w:rPr>
                <w:color w:val="5B9BD5" w:themeColor="accent1"/>
              </w:rPr>
              <w:t>N/A TBD</w:t>
            </w:r>
          </w:p>
          <w:p w:rsidR="0078217A" w:rsidRDefault="0078217A" w:rsidP="00750783">
            <w:r>
              <w:rPr>
                <w:color w:val="5B9BD5" w:themeColor="accent1"/>
              </w:rPr>
              <w:t xml:space="preserve">Once Sub change is approved, then relate BA to the mission </w:t>
            </w:r>
          </w:p>
        </w:tc>
      </w:tr>
    </w:tbl>
    <w:p w:rsidR="001A351C" w:rsidRDefault="001A351C">
      <w:r>
        <w:rPr>
          <w:noProof/>
        </w:rPr>
        <mc:AlternateContent>
          <mc:Choice Requires="wps">
            <w:drawing>
              <wp:anchor distT="0" distB="0" distL="114300" distR="114300" simplePos="0" relativeHeight="251660288" behindDoc="0" locked="0" layoutInCell="1" allowOverlap="1" wp14:anchorId="3046F02C" wp14:editId="2C788F8B">
                <wp:simplePos x="0" y="0"/>
                <wp:positionH relativeFrom="column">
                  <wp:posOffset>-3977</wp:posOffset>
                </wp:positionH>
                <wp:positionV relativeFrom="paragraph">
                  <wp:posOffset>137988</wp:posOffset>
                </wp:positionV>
                <wp:extent cx="6607507" cy="778704"/>
                <wp:effectExtent l="0" t="0" r="22225" b="21590"/>
                <wp:wrapNone/>
                <wp:docPr id="3" name="Text Box 3"/>
                <wp:cNvGraphicFramePr/>
                <a:graphic xmlns:a="http://schemas.openxmlformats.org/drawingml/2006/main">
                  <a:graphicData uri="http://schemas.microsoft.com/office/word/2010/wordprocessingShape">
                    <wps:wsp>
                      <wps:cNvSpPr txBox="1"/>
                      <wps:spPr>
                        <a:xfrm>
                          <a:off x="0" y="0"/>
                          <a:ext cx="6607507" cy="7787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351C" w:rsidRPr="001A351C" w:rsidRDefault="001A351C" w:rsidP="001A351C">
                            <w:pPr>
                              <w:jc w:val="center"/>
                              <w:rPr>
                                <w:b/>
                              </w:rPr>
                            </w:pPr>
                            <w:r w:rsidRPr="001A351C">
                              <w:rPr>
                                <w:b/>
                              </w:rPr>
                              <w:t>Effective Practices</w:t>
                            </w:r>
                          </w:p>
                          <w:p w:rsidR="001A351C" w:rsidRDefault="001A351C" w:rsidP="001A351C">
                            <w:r>
                              <w:t>A culture of evidence and inquiry is pervasive in the institution, including cohort tracking, using disaggregated data and strong support from the institutional research unit.</w:t>
                            </w:r>
                          </w:p>
                          <w:p w:rsidR="001A351C" w:rsidRDefault="001A35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6F02C" id="Text Box 3" o:spid="_x0000_s1027" type="#_x0000_t202" style="position:absolute;margin-left:-.3pt;margin-top:10.85pt;width:520.3pt;height:6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" fillcolor="white [3201]" strokeweight=".5pt">
                <v:textbox>
                  <w:txbxContent>
                    <w:p w:rsidR="001A351C" w:rsidRPr="001A351C" w:rsidRDefault="001A351C" w:rsidP="001A351C">
                      <w:pPr>
                        <w:jc w:val="center"/>
                        <w:rPr>
                          <w:b/>
                        </w:rPr>
                      </w:pPr>
                      <w:r w:rsidRPr="001A351C">
                        <w:rPr>
                          <w:b/>
                        </w:rPr>
                        <w:t>Effective Practices</w:t>
                      </w:r>
                    </w:p>
                    <w:p w:rsidR="001A351C" w:rsidRDefault="001A351C" w:rsidP="001A351C">
                      <w:r>
                        <w:t>A culture of evidence and inquiry is pervasive in the institution, including cohort tracking, using disaggregated data and strong support from the institutional research unit.</w:t>
                      </w:r>
                    </w:p>
                    <w:p w:rsidR="001A351C" w:rsidRDefault="001A351C"/>
                  </w:txbxContent>
                </v:textbox>
              </v:shape>
            </w:pict>
          </mc:Fallback>
        </mc:AlternateContent>
      </w:r>
    </w:p>
    <w:p w:rsidR="001A351C" w:rsidRDefault="001A351C"/>
    <w:p w:rsidR="001A351C" w:rsidRDefault="001A351C"/>
    <w:p w:rsidR="001A351C" w:rsidRDefault="001A351C"/>
    <w:p w:rsidR="001A351C" w:rsidRDefault="001A351C">
      <w:r w:rsidRPr="001A351C">
        <w:rPr>
          <w:b/>
        </w:rPr>
        <w:t>3</w:t>
      </w:r>
      <w:r>
        <w:t>. The institution’s programs and services are aligned with its mission. The mission guides institutional decision-making, planning, and resource allocation and informs institutional goals for student learning and achievement.</w:t>
      </w:r>
    </w:p>
    <w:tbl>
      <w:tblPr>
        <w:tblStyle w:val="TableGrid"/>
        <w:tblW w:w="0" w:type="auto"/>
        <w:tblLook w:val="04A0" w:firstRow="1" w:lastRow="0" w:firstColumn="1" w:lastColumn="0" w:noHBand="0" w:noVBand="1"/>
      </w:tblPr>
      <w:tblGrid>
        <w:gridCol w:w="5238"/>
        <w:gridCol w:w="5238"/>
      </w:tblGrid>
      <w:tr w:rsidR="001A351C" w:rsidRPr="00F74052" w:rsidTr="0061182E">
        <w:trPr>
          <w:trHeight w:val="259"/>
        </w:trPr>
        <w:tc>
          <w:tcPr>
            <w:tcW w:w="5238" w:type="dxa"/>
          </w:tcPr>
          <w:p w:rsidR="001A351C" w:rsidRPr="00F74052" w:rsidRDefault="001A351C" w:rsidP="00750783">
            <w:pPr>
              <w:rPr>
                <w:b/>
              </w:rPr>
            </w:pPr>
            <w:r>
              <w:rPr>
                <w:b/>
              </w:rPr>
              <w:t>How d</w:t>
            </w:r>
            <w:r w:rsidRPr="00F74052">
              <w:rPr>
                <w:b/>
              </w:rPr>
              <w:t xml:space="preserve">oes MJC meet </w:t>
            </w:r>
            <w:r>
              <w:rPr>
                <w:b/>
              </w:rPr>
              <w:t>the Standard</w:t>
            </w:r>
            <w:r w:rsidRPr="00F74052">
              <w:rPr>
                <w:b/>
              </w:rPr>
              <w:t>?</w:t>
            </w:r>
          </w:p>
        </w:tc>
        <w:tc>
          <w:tcPr>
            <w:tcW w:w="5238" w:type="dxa"/>
          </w:tcPr>
          <w:p w:rsidR="001A351C" w:rsidRPr="00F74052" w:rsidRDefault="001A351C" w:rsidP="00750783">
            <w:pPr>
              <w:rPr>
                <w:b/>
              </w:rPr>
            </w:pPr>
            <w:r w:rsidRPr="00F74052">
              <w:rPr>
                <w:b/>
              </w:rPr>
              <w:t>Evidence</w:t>
            </w:r>
          </w:p>
        </w:tc>
      </w:tr>
      <w:tr w:rsidR="001A351C" w:rsidTr="0061182E">
        <w:trPr>
          <w:trHeight w:val="1061"/>
        </w:trPr>
        <w:tc>
          <w:tcPr>
            <w:tcW w:w="5238" w:type="dxa"/>
          </w:tcPr>
          <w:p w:rsidR="001A351C" w:rsidRDefault="001A351C" w:rsidP="00750783">
            <w:r>
              <w:t>How does the mission statement guide planning and decision making? To what extent is the mission statement central to the choices the college makes?</w:t>
            </w:r>
          </w:p>
        </w:tc>
        <w:tc>
          <w:tcPr>
            <w:tcW w:w="5238" w:type="dxa"/>
          </w:tcPr>
          <w:p w:rsidR="001A351C" w:rsidRPr="0078217A" w:rsidRDefault="0078217A" w:rsidP="00750783">
            <w:pPr>
              <w:rPr>
                <w:color w:val="5B9BD5" w:themeColor="accent1"/>
              </w:rPr>
            </w:pPr>
            <w:r w:rsidRPr="0078217A">
              <w:rPr>
                <w:color w:val="5B9BD5" w:themeColor="accent1"/>
              </w:rPr>
              <w:t>Engaging All Voices</w:t>
            </w:r>
            <w:r>
              <w:rPr>
                <w:color w:val="5B9BD5" w:themeColor="accent1"/>
              </w:rPr>
              <w:t xml:space="preserve"> – Council Charges</w:t>
            </w:r>
          </w:p>
          <w:p w:rsidR="0078217A" w:rsidRDefault="0078217A" w:rsidP="00750783">
            <w:pPr>
              <w:rPr>
                <w:color w:val="5B9BD5" w:themeColor="accent1"/>
              </w:rPr>
            </w:pPr>
            <w:r w:rsidRPr="0078217A">
              <w:rPr>
                <w:color w:val="5B9BD5" w:themeColor="accent1"/>
              </w:rPr>
              <w:t>Mission tied to committee discussions and minutes</w:t>
            </w:r>
          </w:p>
          <w:p w:rsidR="0078217A" w:rsidRDefault="0078217A" w:rsidP="00750783">
            <w:r>
              <w:rPr>
                <w:color w:val="5B9BD5" w:themeColor="accent1"/>
              </w:rPr>
              <w:t>Department/Division meeting minutes</w:t>
            </w:r>
          </w:p>
        </w:tc>
      </w:tr>
      <w:tr w:rsidR="001A351C" w:rsidTr="0061182E">
        <w:trPr>
          <w:trHeight w:val="789"/>
        </w:trPr>
        <w:tc>
          <w:tcPr>
            <w:tcW w:w="5238" w:type="dxa"/>
          </w:tcPr>
          <w:p w:rsidR="001A351C" w:rsidRDefault="001A351C" w:rsidP="00750783">
            <w:r>
              <w:t>How does the institution meet the standard as to the baccalaureate degree, and how is this demonstrated in evidence?</w:t>
            </w:r>
          </w:p>
        </w:tc>
        <w:tc>
          <w:tcPr>
            <w:tcW w:w="5238" w:type="dxa"/>
          </w:tcPr>
          <w:p w:rsidR="001A351C" w:rsidRDefault="0078217A" w:rsidP="00750783">
            <w:r w:rsidRPr="0078217A">
              <w:rPr>
                <w:color w:val="5B9BD5" w:themeColor="accent1"/>
                <w:highlight w:val="yellow"/>
              </w:rPr>
              <w:t>NA – possibly discuss after sub change is accepted</w:t>
            </w:r>
          </w:p>
        </w:tc>
      </w:tr>
      <w:tr w:rsidR="001A351C" w:rsidTr="0061182E">
        <w:trPr>
          <w:trHeight w:val="1321"/>
        </w:trPr>
        <w:tc>
          <w:tcPr>
            <w:tcW w:w="5238" w:type="dxa"/>
          </w:tcPr>
          <w:p w:rsidR="001A351C" w:rsidRDefault="001A351C" w:rsidP="00750783">
            <w:r>
              <w:t>Has the institution considered in consultation with its key constituents if and how DE/CE is congruent with the mission? Does the mission include any statements related to its commitment to DE/CE?</w:t>
            </w:r>
          </w:p>
        </w:tc>
        <w:tc>
          <w:tcPr>
            <w:tcW w:w="5238" w:type="dxa"/>
          </w:tcPr>
          <w:p w:rsidR="001A351C" w:rsidRPr="0078217A" w:rsidRDefault="0078217A" w:rsidP="00750783">
            <w:pPr>
              <w:rPr>
                <w:color w:val="5B9BD5" w:themeColor="accent1"/>
              </w:rPr>
            </w:pPr>
            <w:r w:rsidRPr="0078217A">
              <w:rPr>
                <w:color w:val="5B9BD5" w:themeColor="accent1"/>
              </w:rPr>
              <w:t>Diverse Populations</w:t>
            </w:r>
          </w:p>
          <w:p w:rsidR="0078217A" w:rsidRPr="0078217A" w:rsidRDefault="0078217A" w:rsidP="00750783">
            <w:pPr>
              <w:rPr>
                <w:color w:val="5B9BD5" w:themeColor="accent1"/>
              </w:rPr>
            </w:pPr>
            <w:r w:rsidRPr="0078217A">
              <w:rPr>
                <w:color w:val="5B9BD5" w:themeColor="accent1"/>
              </w:rPr>
              <w:t>Lifelong learning</w:t>
            </w:r>
          </w:p>
          <w:p w:rsidR="0078217A" w:rsidRDefault="0078217A" w:rsidP="00750783">
            <w:r w:rsidRPr="0078217A">
              <w:rPr>
                <w:color w:val="5B9BD5" w:themeColor="accent1"/>
              </w:rPr>
              <w:t>Dynamic teaching – e.g. different modalities</w:t>
            </w:r>
          </w:p>
        </w:tc>
      </w:tr>
    </w:tbl>
    <w:p w:rsidR="001A351C" w:rsidRDefault="001A351C"/>
    <w:p w:rsidR="001A351C" w:rsidRDefault="001A351C">
      <w:r w:rsidRPr="001A351C">
        <w:rPr>
          <w:b/>
        </w:rPr>
        <w:t>4</w:t>
      </w:r>
      <w:r>
        <w:t>. The institution articulates its mission in a widely published statement approved by the governing board. The mission statement is periodically reviewed and updated as necessary.</w:t>
      </w:r>
    </w:p>
    <w:tbl>
      <w:tblPr>
        <w:tblStyle w:val="TableGrid"/>
        <w:tblW w:w="0" w:type="auto"/>
        <w:tblLook w:val="04A0" w:firstRow="1" w:lastRow="0" w:firstColumn="1" w:lastColumn="0" w:noHBand="0" w:noVBand="1"/>
      </w:tblPr>
      <w:tblGrid>
        <w:gridCol w:w="5232"/>
        <w:gridCol w:w="5232"/>
      </w:tblGrid>
      <w:tr w:rsidR="001A351C" w:rsidRPr="00F74052" w:rsidTr="0061182E">
        <w:trPr>
          <w:trHeight w:val="257"/>
        </w:trPr>
        <w:tc>
          <w:tcPr>
            <w:tcW w:w="5232" w:type="dxa"/>
          </w:tcPr>
          <w:p w:rsidR="001A351C" w:rsidRPr="00F74052" w:rsidRDefault="001A351C" w:rsidP="00750783">
            <w:pPr>
              <w:rPr>
                <w:b/>
              </w:rPr>
            </w:pPr>
            <w:r>
              <w:rPr>
                <w:b/>
              </w:rPr>
              <w:t>How d</w:t>
            </w:r>
            <w:r w:rsidRPr="00F74052">
              <w:rPr>
                <w:b/>
              </w:rPr>
              <w:t xml:space="preserve">oes MJC meet </w:t>
            </w:r>
            <w:r>
              <w:rPr>
                <w:b/>
              </w:rPr>
              <w:t>the Standard</w:t>
            </w:r>
            <w:r w:rsidRPr="00F74052">
              <w:rPr>
                <w:b/>
              </w:rPr>
              <w:t>?</w:t>
            </w:r>
          </w:p>
        </w:tc>
        <w:tc>
          <w:tcPr>
            <w:tcW w:w="5232" w:type="dxa"/>
          </w:tcPr>
          <w:p w:rsidR="001A351C" w:rsidRPr="00F74052" w:rsidRDefault="001A351C" w:rsidP="00750783">
            <w:pPr>
              <w:rPr>
                <w:b/>
              </w:rPr>
            </w:pPr>
            <w:r w:rsidRPr="00F74052">
              <w:rPr>
                <w:b/>
              </w:rPr>
              <w:t>Evidence</w:t>
            </w:r>
          </w:p>
        </w:tc>
      </w:tr>
      <w:tr w:rsidR="001A351C" w:rsidTr="0061182E">
        <w:trPr>
          <w:trHeight w:val="525"/>
        </w:trPr>
        <w:tc>
          <w:tcPr>
            <w:tcW w:w="5232" w:type="dxa"/>
          </w:tcPr>
          <w:p w:rsidR="001A351C" w:rsidRDefault="001A351C" w:rsidP="00750783">
            <w:r>
              <w:t>When was the current mission statement approved by the governing board?</w:t>
            </w:r>
          </w:p>
        </w:tc>
        <w:tc>
          <w:tcPr>
            <w:tcW w:w="5232" w:type="dxa"/>
          </w:tcPr>
          <w:p w:rsidR="001A351C" w:rsidRPr="0078217A" w:rsidRDefault="0078217A" w:rsidP="00750783">
            <w:pPr>
              <w:rPr>
                <w:color w:val="5B9BD5" w:themeColor="accent1"/>
              </w:rPr>
            </w:pPr>
            <w:r w:rsidRPr="0078217A">
              <w:rPr>
                <w:color w:val="5B9BD5" w:themeColor="accent1"/>
              </w:rPr>
              <w:t>Check Board Minutes</w:t>
            </w:r>
          </w:p>
          <w:p w:rsidR="0078217A" w:rsidRDefault="0078217A" w:rsidP="00750783">
            <w:r w:rsidRPr="0078217A">
              <w:rPr>
                <w:color w:val="5B9BD5" w:themeColor="accent1"/>
              </w:rPr>
              <w:t>Board Policy and Procedure</w:t>
            </w:r>
          </w:p>
        </w:tc>
      </w:tr>
      <w:tr w:rsidR="001A351C" w:rsidTr="0061182E">
        <w:trPr>
          <w:trHeight w:val="782"/>
        </w:trPr>
        <w:tc>
          <w:tcPr>
            <w:tcW w:w="5232" w:type="dxa"/>
          </w:tcPr>
          <w:p w:rsidR="001A351C" w:rsidRDefault="001A351C" w:rsidP="00750783">
            <w:r>
              <w:t>Has the mission been reviewed to reflect the commitment to DE/CE and what was the rationale for the changes to the statement?</w:t>
            </w:r>
          </w:p>
        </w:tc>
        <w:tc>
          <w:tcPr>
            <w:tcW w:w="5232" w:type="dxa"/>
          </w:tcPr>
          <w:p w:rsidR="001A351C" w:rsidRPr="0078217A" w:rsidRDefault="0078217A" w:rsidP="00750783">
            <w:pPr>
              <w:rPr>
                <w:color w:val="5B9BD5" w:themeColor="accent1"/>
              </w:rPr>
            </w:pPr>
            <w:bookmarkStart w:id="0" w:name="_GoBack"/>
            <w:r w:rsidRPr="0078217A">
              <w:rPr>
                <w:color w:val="5B9BD5" w:themeColor="accent1"/>
              </w:rPr>
              <w:t>Go to minutes re: Objectives and explore for DE/CE application</w:t>
            </w:r>
          </w:p>
          <w:p w:rsidR="0078217A" w:rsidRPr="0078217A" w:rsidRDefault="0078217A" w:rsidP="00750783">
            <w:pPr>
              <w:rPr>
                <w:color w:val="5B9BD5" w:themeColor="accent1"/>
              </w:rPr>
            </w:pPr>
            <w:r w:rsidRPr="0078217A">
              <w:rPr>
                <w:color w:val="5B9BD5" w:themeColor="accent1"/>
              </w:rPr>
              <w:t>College Council</w:t>
            </w:r>
          </w:p>
          <w:p w:rsidR="0078217A" w:rsidRDefault="0078217A" w:rsidP="00750783">
            <w:r w:rsidRPr="0078217A">
              <w:rPr>
                <w:color w:val="5B9BD5" w:themeColor="accent1"/>
              </w:rPr>
              <w:t>Academic Senate</w:t>
            </w:r>
            <w:bookmarkEnd w:id="0"/>
          </w:p>
        </w:tc>
      </w:tr>
    </w:tbl>
    <w:p w:rsidR="009B3798" w:rsidRDefault="009B3798">
      <w:pPr>
        <w:rPr>
          <w:sz w:val="20"/>
        </w:rPr>
      </w:pPr>
    </w:p>
    <w:p w:rsidR="00D31FDF" w:rsidRPr="001B3EB1" w:rsidRDefault="00D31FDF" w:rsidP="001B3EB1">
      <w:pPr>
        <w:rPr>
          <w:sz w:val="20"/>
        </w:rPr>
      </w:pPr>
    </w:p>
    <w:sectPr w:rsidR="00D31FDF" w:rsidRPr="001B3EB1" w:rsidSect="006118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052"/>
    <w:rsid w:val="001A351C"/>
    <w:rsid w:val="001B3EB1"/>
    <w:rsid w:val="004655C9"/>
    <w:rsid w:val="00504B09"/>
    <w:rsid w:val="0061182E"/>
    <w:rsid w:val="0078217A"/>
    <w:rsid w:val="007F46C6"/>
    <w:rsid w:val="009B3798"/>
    <w:rsid w:val="00D31FDF"/>
    <w:rsid w:val="00D65A10"/>
    <w:rsid w:val="00E05654"/>
    <w:rsid w:val="00E62452"/>
    <w:rsid w:val="00F74052"/>
    <w:rsid w:val="00F75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41A80-9D9F-4540-979E-1BCF0FF8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4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CEC8A-EEA5-43D6-AF72-0E18112E2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Yosemite Community College District</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Cannon</dc:creator>
  <cp:keywords/>
  <dc:description/>
  <cp:lastModifiedBy>Jennifer Hamilton</cp:lastModifiedBy>
  <cp:revision>3</cp:revision>
  <dcterms:created xsi:type="dcterms:W3CDTF">2016-02-19T18:22:00Z</dcterms:created>
  <dcterms:modified xsi:type="dcterms:W3CDTF">2016-02-19T18:31:00Z</dcterms:modified>
</cp:coreProperties>
</file>